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Костромская область</w:t>
      </w:r>
    </w:p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СУДИСЛАВСКОГО МУНИЦИПАЛЬНОГО РАЙОНА</w:t>
      </w:r>
    </w:p>
    <w:p w:rsidR="005E29AC" w:rsidRDefault="005E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5E29AC" w:rsidRDefault="005E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E29AC" w:rsidRDefault="00BC7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10.01.2017   №  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5E29AC" w:rsidRDefault="00BC7351">
      <w:pPr>
        <w:pStyle w:val="a9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</w:t>
      </w:r>
    </w:p>
    <w:p w:rsidR="005E29AC" w:rsidRDefault="00BC7351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</w:t>
      </w:r>
      <w:r>
        <w:rPr>
          <w:rFonts w:ascii="Times New Roman" w:hAnsi="Times New Roman"/>
          <w:bCs/>
          <w:sz w:val="28"/>
          <w:szCs w:val="28"/>
        </w:rPr>
        <w:t xml:space="preserve"> культуры</w:t>
      </w:r>
    </w:p>
    <w:p w:rsidR="005E29AC" w:rsidRDefault="00BC7351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Судиславскоммуниципальном районе</w:t>
      </w:r>
    </w:p>
    <w:p w:rsidR="005E29AC" w:rsidRDefault="00BC7351">
      <w:pPr>
        <w:pStyle w:val="a9"/>
        <w:rPr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Костромской области на 2017 </w:t>
      </w:r>
      <w:r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lang w:eastAsia="ru-RU"/>
        </w:rPr>
        <w:t>»</w:t>
      </w:r>
    </w:p>
    <w:p w:rsidR="00222B83" w:rsidRPr="00222B83" w:rsidRDefault="00222B8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222B83">
        <w:rPr>
          <w:rFonts w:ascii="Times New Roman" w:hAnsi="Times New Roman"/>
          <w:sz w:val="28"/>
          <w:szCs w:val="28"/>
          <w:lang w:eastAsia="ru-RU"/>
        </w:rPr>
        <w:t>(в ред.</w:t>
      </w:r>
      <w:r w:rsidR="00E11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B83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Судиславского </w:t>
      </w:r>
    </w:p>
    <w:p w:rsidR="00222B83" w:rsidRPr="00222B83" w:rsidRDefault="00222B8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222B8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31.05.2017 г. </w:t>
      </w:r>
      <w:r w:rsidR="00A579FD">
        <w:rPr>
          <w:rFonts w:ascii="Times New Roman" w:hAnsi="Times New Roman"/>
          <w:sz w:val="28"/>
          <w:szCs w:val="28"/>
          <w:lang w:eastAsia="ru-RU"/>
        </w:rPr>
        <w:t>№ 1</w:t>
      </w:r>
      <w:r w:rsidRPr="00222B83">
        <w:rPr>
          <w:rFonts w:ascii="Times New Roman" w:hAnsi="Times New Roman"/>
          <w:sz w:val="28"/>
          <w:szCs w:val="28"/>
          <w:lang w:eastAsia="ru-RU"/>
        </w:rPr>
        <w:t>13)</w:t>
      </w:r>
    </w:p>
    <w:p w:rsidR="005E29AC" w:rsidRDefault="005E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9AC" w:rsidRDefault="00BC7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Основ государственной культурной политики, утвержденных Указом Президента Российской Федерации от 24 декабря 2014 года № 808 «Об утверждении Основ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культурной политики», Стратегии государственной культурной политики на период до 2030 года, утвержденной распоряжением Правительства Российской Федерации от 29 февраля 2016 года № 326 –р, постановлением администрации Судиславского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района от 30.12.2013 г. № 194 «Об утверждении Порядка принятия решений о разработке, реализации и оценке эффективности муниципальных программ Судиславского муниципального района»</w:t>
      </w:r>
    </w:p>
    <w:p w:rsidR="005E29AC" w:rsidRDefault="005E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9AC" w:rsidRDefault="00BC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Судиславского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5E29AC" w:rsidRDefault="005E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BC7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вердить прилагаемую муниципальную программу «Развитие культуры в Судиславском муниципальном районе Костромской области на 2017 год».</w:t>
      </w:r>
    </w:p>
    <w:p w:rsidR="005E29AC" w:rsidRDefault="00BC735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- заведующего отделом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Судиславского муниципального района Костромской области Антохину Т.В.</w:t>
      </w:r>
    </w:p>
    <w:p w:rsidR="005E29AC" w:rsidRDefault="00BC7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законную силу со дня его официального опубликования.</w:t>
      </w:r>
    </w:p>
    <w:p w:rsidR="005E29AC" w:rsidRDefault="005E29AC">
      <w:pPr>
        <w:spacing w:after="0" w:line="240" w:lineRule="auto"/>
        <w:ind w:left="7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>
      <w:pPr>
        <w:spacing w:after="0" w:line="240" w:lineRule="auto"/>
        <w:ind w:left="7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>
      <w:pPr>
        <w:spacing w:after="0" w:line="240" w:lineRule="auto"/>
        <w:ind w:left="7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BC735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главы Судиславского </w:t>
      </w:r>
    </w:p>
    <w:p w:rsidR="005E29AC" w:rsidRDefault="00BC735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С.Г. Варфоломеева</w:t>
      </w:r>
    </w:p>
    <w:p w:rsidR="005E29AC" w:rsidRDefault="005E29AC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9AC" w:rsidRDefault="005E29AC"/>
    <w:p w:rsidR="005E29AC" w:rsidRDefault="005E29AC"/>
    <w:p w:rsidR="00222B83" w:rsidRDefault="00222B83" w:rsidP="00222B83">
      <w:pPr>
        <w:spacing w:after="0" w:line="240" w:lineRule="auto"/>
        <w:ind w:left="504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left="504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Утверждена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Постановлением Администрации</w:t>
      </w:r>
    </w:p>
    <w:p w:rsidR="00222B83" w:rsidRDefault="00222B83" w:rsidP="00222B83">
      <w:pPr>
        <w:spacing w:after="0" w:line="240" w:lineRule="auto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Судиславского муниципального района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Calibri" w:hAnsi="Times New Roman"/>
          <w:kern w:val="1"/>
          <w:sz w:val="28"/>
          <w:szCs w:val="28"/>
          <w:u w:val="single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u w:val="single"/>
          <w:lang w:eastAsia="zh-CN"/>
        </w:rPr>
        <w:t>от 10.01.2017 г. № 2</w:t>
      </w:r>
    </w:p>
    <w:p w:rsidR="00222B83" w:rsidRPr="00222B83" w:rsidRDefault="00A579FD" w:rsidP="00A579FD">
      <w:pPr>
        <w:spacing w:after="0" w:line="240" w:lineRule="auto"/>
        <w:ind w:left="5040"/>
        <w:jc w:val="right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A579FD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(в ред. постановления администрации Судиславского муниципального района </w:t>
      </w:r>
      <w:r w:rsidRPr="00DF286F">
        <w:rPr>
          <w:rFonts w:ascii="Times New Roman" w:eastAsia="Calibri" w:hAnsi="Times New Roman"/>
          <w:kern w:val="1"/>
          <w:sz w:val="28"/>
          <w:szCs w:val="28"/>
          <w:u w:val="single"/>
          <w:lang w:eastAsia="zh-CN"/>
        </w:rPr>
        <w:t>от 31.05.2017 г. № 113</w:t>
      </w:r>
      <w:r w:rsidRPr="00A579FD">
        <w:rPr>
          <w:rFonts w:ascii="Times New Roman" w:eastAsia="Calibri" w:hAnsi="Times New Roman"/>
          <w:kern w:val="1"/>
          <w:sz w:val="28"/>
          <w:szCs w:val="28"/>
          <w:lang w:eastAsia="zh-CN"/>
        </w:rPr>
        <w:t>)</w:t>
      </w:r>
      <w:r w:rsidRPr="00A579FD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</w:t>
      </w:r>
    </w:p>
    <w:p w:rsidR="00222B83" w:rsidRPr="00222B83" w:rsidRDefault="00222B83" w:rsidP="00222B83">
      <w:pPr>
        <w:ind w:left="4956" w:firstLine="264"/>
        <w:jc w:val="right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ind w:left="4956" w:firstLine="264"/>
        <w:jc w:val="right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right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b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b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МУНИЦИПАЛЬНАЯ  ПРОГРАММА</w:t>
      </w:r>
    </w:p>
    <w:p w:rsidR="00222B83" w:rsidRPr="00222B83" w:rsidRDefault="00222B83" w:rsidP="00222B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«РАЗВИТИЕ КУЛЬТУРЫ В СУДИСЛАВСКОМ МУНИЦИПАЛЬНОМ РАЙОНЕ КОСТРОМСКОЙ ОБЛАСТИ НА 2017 ГОД».</w:t>
      </w:r>
    </w:p>
    <w:p w:rsidR="00222B83" w:rsidRPr="00222B83" w:rsidRDefault="00222B83" w:rsidP="00222B83">
      <w:pPr>
        <w:jc w:val="center"/>
        <w:rPr>
          <w:rFonts w:ascii="Calibri" w:eastAsia="Calibri" w:hAnsi="Calibri"/>
          <w:b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b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kern w:val="1"/>
          <w:sz w:val="28"/>
          <w:szCs w:val="28"/>
          <w:lang w:eastAsia="zh-CN"/>
        </w:rPr>
        <w:t xml:space="preserve">Ответственный исполнитель программы </w:t>
      </w:r>
    </w:p>
    <w:p w:rsidR="00222B83" w:rsidRPr="00222B83" w:rsidRDefault="00222B83" w:rsidP="00222B83">
      <w:pPr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МКУ Отдел культуры, молодежи, спорта и туризма </w:t>
      </w:r>
    </w:p>
    <w:p w:rsidR="00222B83" w:rsidRPr="00222B83" w:rsidRDefault="00222B83" w:rsidP="00222B83">
      <w:pPr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Судиславского муниципального района</w:t>
      </w: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Костромской области</w:t>
      </w: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2017 год</w:t>
      </w:r>
    </w:p>
    <w:p w:rsidR="00222B83" w:rsidRPr="00222B83" w:rsidRDefault="00222B83" w:rsidP="00222B83">
      <w:pPr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jc w:val="center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Исполнитель:  Л.С. Николайчук</w:t>
      </w:r>
    </w:p>
    <w:p w:rsidR="00222B83" w:rsidRPr="00222B83" w:rsidRDefault="00222B83" w:rsidP="00222B83">
      <w:pPr>
        <w:spacing w:after="0" w:line="240" w:lineRule="auto"/>
        <w:rPr>
          <w:rFonts w:ascii="Calibri" w:eastAsia="Calibri" w:hAnsi="Calibri"/>
          <w:kern w:val="1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Calibri" w:eastAsia="Calibri" w:hAnsi="Calibri"/>
          <w:kern w:val="1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1. Паспорт Программы</w:t>
      </w: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b/>
          <w:i/>
          <w:kern w:val="1"/>
          <w:sz w:val="24"/>
          <w:szCs w:val="24"/>
          <w:lang w:eastAsia="zh-CN"/>
        </w:rPr>
      </w:pP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Наименование муниципальной программы: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Муниципальная программа «Развитие культуры в Судиславском муниципальном районе Костромской области на 2017 год» (далее - Программа).</w:t>
      </w: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Основание для разработки Программы: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Основы государственной культурной политики, утвержденные Указом Президента Российской Федерации от 24 декабря 2014 года № 808 «Об утверждении Основ государственной культурной политики»;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 февраля 2016 года № 326 –р;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Государственная программа «Развитие культуры и туризма Костромской области на 2014 – 2020 годы», утвержденная постановлением администрации Костромской области от 08 апреля 2014 года № 130;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Государственная программа Российской Федерации «Развитие образования» на 2013 - 2020 годы, утвержденная распоряжением Правительства Российской Федерации от 22 ноября 2012 года№ 2148-р;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Закон Костромской области от 29 декабря 2011 года № 182-5-ЗКО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«О региональной политике в области культуры»;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«Дорожная карта Судиславского муниципального района на 2012 – 2018 годы, утвержденная постановлением Администрации Судиславского муниципального района от 06.02.2013 года.</w:t>
      </w:r>
    </w:p>
    <w:p w:rsidR="00222B83" w:rsidRPr="00222B83" w:rsidRDefault="00222B83" w:rsidP="00222B8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Заказчик Программы - Администрация Судиславского муниципального района.</w:t>
      </w:r>
    </w:p>
    <w:p w:rsidR="00222B83" w:rsidRPr="00222B83" w:rsidRDefault="00222B83" w:rsidP="00222B8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Разработчик Программы: МКУ Отдел культуры, молодежи, спорта и туризма  Судиславского муниципального района Костромской области.</w:t>
      </w:r>
    </w:p>
    <w:p w:rsidR="00222B83" w:rsidRPr="00222B83" w:rsidRDefault="00222B83" w:rsidP="00222B8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Ответственный исполнитель Программы</w:t>
      </w:r>
      <w:r w:rsidRPr="00222B83">
        <w:rPr>
          <w:rFonts w:ascii="Times New Roman" w:eastAsia="Calibri" w:hAnsi="Times New Roman"/>
          <w:b/>
          <w:kern w:val="1"/>
          <w:sz w:val="28"/>
          <w:szCs w:val="28"/>
          <w:lang w:eastAsia="zh-CN"/>
        </w:rPr>
        <w:t xml:space="preserve">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МКУ Отдел культуры, молодежи, спорта и туризма  Судиславского муниципального района Костромской области.</w:t>
      </w: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 xml:space="preserve">Соисполнители программы: 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1) МУК Централизованная библиотечная система Судиславского муниципального района Костромской области;</w:t>
      </w:r>
    </w:p>
    <w:p w:rsidR="00222B83" w:rsidRPr="00222B83" w:rsidRDefault="00222B83" w:rsidP="00222B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МУК Дом народного творчества и досуга Судиславского муниципального района Костромской области.</w:t>
      </w:r>
    </w:p>
    <w:p w:rsidR="00222B83" w:rsidRPr="00222B83" w:rsidRDefault="00222B83" w:rsidP="00222B83">
      <w:pPr>
        <w:spacing w:after="0" w:line="240" w:lineRule="auto"/>
        <w:contextualSpacing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7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. Цель Программы: 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Создание благоприятных условий для формирования у населения Судиславского муниципального района духовно-нравственных и культурно-ценностных ориентиров посредством развития отрасли «Культура».</w:t>
      </w:r>
    </w:p>
    <w:p w:rsidR="00222B83" w:rsidRPr="00222B83" w:rsidRDefault="00222B83" w:rsidP="00222B83">
      <w:p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8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. Задачи Программы:</w:t>
      </w:r>
    </w:p>
    <w:p w:rsidR="00222B83" w:rsidRPr="00222B83" w:rsidRDefault="00222B83" w:rsidP="00222B8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Повышение уровня удовлетворенности населения качеством и доступность предоставляемых услуг в сфере культуры.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Укрепление единства российского общества посредством приоритетного культурного и гуманитарного развития.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lastRenderedPageBreak/>
        <w:t>Сохранение исторического и культурного наследия и его использование для укрепления гражданской идентичности.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Создание условий для реализации каждым человеком его творческого потенциала.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Обеспечение гражданам доступа к знаниям, информации и культурным ценностям.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Повышение эффективности деятельности муниципальных библиотек.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Обновление содержательной деятельности библиотек в ответ на изменение интересов, потребностей разных групп пользователей.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 xml:space="preserve">      9. Сроки реализации Программы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2017 год.</w:t>
      </w:r>
    </w:p>
    <w:p w:rsidR="00222B83" w:rsidRPr="00222B83" w:rsidRDefault="00222B83" w:rsidP="00222B83">
      <w:pPr>
        <w:spacing w:after="0" w:line="240" w:lineRule="auto"/>
        <w:contextualSpacing/>
        <w:jc w:val="both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10.  Перечень основных мероприятий:</w:t>
      </w:r>
    </w:p>
    <w:p w:rsidR="00222B83" w:rsidRPr="00222B83" w:rsidRDefault="00222B83" w:rsidP="00222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Сохранение и развитие библиотечного обслуживания: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Оказание муниципальной услуги библиотечного обслуживание населения;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Комплектование книжных фондов библиотек;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Методическая работа в сфере библиотечного обслуживания;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мероприятий по подключению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Работы по проведению культурно-просветительских мероприятий, выставок, фестивалей, конкурсов, конференций и иных мероприятий.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Участие в конкурсах профессионального мастерства;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Укрепление материально-технической базы, проведение текущих ремонтных работ помещений библиотек района;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Работа по созданию и актуализации сайта МУК ЦБС в информационно-телекоммуникационной сети «Интернет».</w:t>
      </w:r>
    </w:p>
    <w:p w:rsidR="00222B83" w:rsidRPr="00222B83" w:rsidRDefault="00222B83" w:rsidP="00222B8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Развитие народного творчества, культурно-досуговая деятельность.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Укрепление материально-технической базы учреждений культуры;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культурно-массовых мероприятий, выставок, выставок-ярмарок, фестивалей, конкурсов, культурных акций, конференций, мастер-классов и иных мероприятий;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Методическая работа в установленной сфере деятельности;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киновидеосеансов;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Организации работы клубных формирований, кружков, любительских объединений, студий;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Участие в областных, межрегиональных, всероссийских фестивалях, конкурсах, выставках. </w:t>
      </w:r>
    </w:p>
    <w:p w:rsidR="00222B83" w:rsidRPr="00222B83" w:rsidRDefault="00222B83" w:rsidP="00222B8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Работа по созданию и актуализации сайта МУК ДНТД в информационно-телекоммуникационной сети «Интернет».</w:t>
      </w:r>
    </w:p>
    <w:p w:rsidR="00222B83" w:rsidRPr="00222B83" w:rsidRDefault="00222B83" w:rsidP="00222B83">
      <w:p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11.  Объемы финансирования Программы: 2017 год - 1084,17 тыс. руб.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Финансирование программных мероприятий Программы будет осуществляться за счет средств федерального, областного, муниципального бюджетов, внебюджетных источников.</w:t>
      </w:r>
    </w:p>
    <w:p w:rsidR="00222B83" w:rsidRPr="00222B83" w:rsidRDefault="00222B83" w:rsidP="00222B83">
      <w:pPr>
        <w:spacing w:after="0" w:line="240" w:lineRule="auto"/>
        <w:contextualSpacing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12. Целевые индикаторы и показатели муниципальной программы приведены в таблице № 1.</w:t>
      </w:r>
    </w:p>
    <w:p w:rsidR="00222B83" w:rsidRPr="00222B83" w:rsidRDefault="00222B83" w:rsidP="00222B83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13. Ожидаемые конечные результаты реализации Программы и показатели социально-экономической эффективности:</w:t>
      </w:r>
    </w:p>
    <w:p w:rsidR="00222B83" w:rsidRPr="00222B83" w:rsidRDefault="00222B83" w:rsidP="00222B83">
      <w:p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13.1Сохранение и развитие библиотечного обслуживания: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высокий уровень качества и доступности услуг библиотек;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пользователей 6125 человек;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книговыдач  168900 штук;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проведенных мероприятий различного уровня (культурно-просветительских, информационных и иных) — 870;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библиографических записей в сводном электронном каталоге 5486;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обслуживание населения (45 % населения Судиславского муниципального района);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посетителей культурно-массовых мероприятий 83200 человек.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13.2. Развитие народного творчества, культурно-досуговая деятельность:</w:t>
      </w:r>
    </w:p>
    <w:p w:rsidR="00222B83" w:rsidRPr="00222B83" w:rsidRDefault="00222B83" w:rsidP="00222B83">
      <w:pPr>
        <w:spacing w:after="0" w:line="240" w:lineRule="auto"/>
        <w:ind w:left="1416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 высокий уровень качества и доступности культурно-досуговых услуг;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новый качественный уровень развития учреждений культурно-досугового типа;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культурно-массовых мероприятий 350;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посетителей культурно-массовых мероприятий 61900 человек;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коллективов, имеющих звание «народный», «образцовый 8;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участий коллективов художественной творческой самодеятельности во всероссийских, региональных областных конкурсах, фестивалях 20;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участников клубных формирований 1193 человек;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количество клубных формирований, формирований самодеятельного народного творчества 74;</w:t>
      </w:r>
    </w:p>
    <w:p w:rsidR="00222B83" w:rsidRPr="00222B83" w:rsidRDefault="00222B83" w:rsidP="00222B83">
      <w:pPr>
        <w:spacing w:after="0" w:line="240" w:lineRule="auto"/>
        <w:ind w:left="1416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организация и проведение семинаров, фестивалей, конкурсов различного уровня для культурно-досуговых учреждений поселений района 43.</w:t>
      </w: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2. Характеристика проблемы, на решение которой направлена Программа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Судиславский муниципальный район располагает огромным культурным наследием, имеющим значительный потенциал развития. Отрасль культуры района включает деятельность по сохранению и развитию библиотечного дела, поддержке и развитию исполнительских искусств, кинематографии, народных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промыслов и ремёсел,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По состоянию на 1 января 2017 года, сеть учреждений отрасли культуры Судиславского муниципального района включает 33</w:t>
      </w:r>
      <w:r w:rsidRPr="00222B83">
        <w:rPr>
          <w:rFonts w:ascii="Times New Roman" w:eastAsia="Calibri" w:hAnsi="Times New Roman"/>
          <w:color w:val="000000"/>
          <w:w w:val="101"/>
          <w:kern w:val="1"/>
          <w:sz w:val="28"/>
          <w:szCs w:val="28"/>
          <w:lang w:eastAsia="zh-CN"/>
        </w:rPr>
        <w:t xml:space="preserve"> единицы (муниципальные казенные учреждения и их филиалы).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В сфере культуры Судиславского муниципального района занято 103 человека. Средняя заработная плата работников учреждений культуры и образования составляет 14245 рублей. В 2016 году учреждениями культуры проведено более трех тысяч мероприятий, в которых приняли участие около 160 тысяч человек.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Конкурентными преимуществами района в сфере культуры, дающими основания для успешного и устойчивого развития отрасли в современных условиях, являются: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развитая сеть учреждений культуры, в целом соответствующая социальным нормативам и нормам;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разнообразие культурных и исторических достопримечательностей, местных промыслов и ремёсел, уникальность традиционной народной культуры, самобытность сельских поселений;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наличие семи коллективов любительского творчества, имеющих звания «народный» и одного «образцового художественного» коллектива;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наличие устойчивых партнерских взаимоотношений между областными, муниципальными учреждениями сферы культуры, работающими в Костромской области.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Самые крупные муниципальные учреждения культуры района расположены в пгт. Судиславль: МУК Централизованная библиотечная система, в состав которой входит Центральная библиотека с детским отделением и 13 структурных подразделений – сельских библиотек, расположенных в населенных пунктах Судиславского района; МУК Дом народного творчества и досуга. МКУ Отдел культуры  Судиславского района от имени администрации Судиславского муниципального района осуществляет функции и полномочия учредителя в отношении подведомственных муниципальных учреждений. Деятельность данных учреждений культуры и искусства является одной из важнейших составляющих современной культурной жизни районного центра и выполняет образовательные, воспитательные, досуговые функции в обществе, способствует формированию нравственно-эстетических основ, духовных потребностей населения.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Среди положительных тенденций, наблюдаемых в муниципальной системе культуры  за последние три года, можно выделить следующие процессы: 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формирование устойчивой системы культурно-мессовых и культурно-просветительских мероприятий -  праздников, конкурсов и фестивалей; 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создание сети информационных услуг через библиотечное обслуживание; 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рост востребованности населением культурных услуг, предоставляемых муниципальными учреждениями; 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высокий уровень выступлений самодеятельных творческих коллективов, их активная концертная и фестивальная деятельность; 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lastRenderedPageBreak/>
        <w:t>стабильный рост заработной платы работников учреждений культуры района;</w:t>
      </w:r>
    </w:p>
    <w:p w:rsidR="00222B83" w:rsidRPr="00222B83" w:rsidRDefault="00222B83" w:rsidP="00222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Проводятся работы по обеспечению доступности учреждений культуры для лиц с ОВЗ. 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Вместе с тем дальнейшему процессу развития культуры, вовлечению в культурную деятельность подрастающего поколения препятствуют следующие проблемы: 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- наблюдается значительное расхождение между высоким уровнем содержания деятельности сферы культуры и состоянием материально-технической  базы учреждений, которая ухудшается из года в год. Из - за многолетнего использования здания требуют капитального ремонта  и вложения дополнительных финансовых средств. Наблюдается большая изношенность светового, звукового и кинооборудования;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1"/>
          <w:sz w:val="28"/>
          <w:szCs w:val="28"/>
          <w:lang w:eastAsia="zh-CN"/>
        </w:rPr>
      </w:pPr>
      <w:r w:rsidRPr="00222B83">
        <w:rPr>
          <w:rFonts w:ascii="Calibri" w:eastAsia="Times New Roman" w:hAnsi="Calibri" w:cs="Calibri"/>
          <w:kern w:val="1"/>
          <w:sz w:val="28"/>
          <w:szCs w:val="28"/>
          <w:lang w:eastAsia="zh-CN"/>
        </w:rPr>
        <w:t>- «</w:t>
      </w: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старение» кадров, слабый приток молодежи в сферу культуры обусловлен недостаточным уровнем заработной платы;</w:t>
      </w:r>
    </w:p>
    <w:p w:rsidR="00222B83" w:rsidRPr="00222B83" w:rsidRDefault="00222B83" w:rsidP="00222B83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- низкий уровень комплектования книжного фонда муниципальных библиотек, отсутствие регулярного поступления периодической литературы, слабая оснащенность современным информационно-технологическим и библиотечным оборудованием. </w:t>
      </w:r>
    </w:p>
    <w:p w:rsidR="00222B83" w:rsidRPr="00222B83" w:rsidRDefault="00222B83" w:rsidP="00222B83">
      <w:pPr>
        <w:spacing w:after="0" w:line="240" w:lineRule="auto"/>
        <w:ind w:firstLine="540"/>
        <w:jc w:val="both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Важным аспектом стало проведение антитеррористических, противопожарных мероприятий, направленных на сохранение жизни и здоровья граждан, увеличение удельного веса зданий социальной инфраструктуры, дооборудованных с учетом потребности инвалидов и других маломобильных групп населения.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На решение этих проблем направлена настоящая программа, позволяющая с помощью принципов программно-целевого планирования обеспечить системный подход к решению существующих проблем в сфере культуры.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3. Цель, задачи, сроки реализации Программы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Цель Программы: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Создание благоприятных условий для формирования у населения Судиславского муниципального района духовно-нравственных и культурно-ценностных ориентиров посредством развития отрасли «Культура».</w:t>
      </w:r>
    </w:p>
    <w:p w:rsidR="00222B83" w:rsidRPr="00222B83" w:rsidRDefault="00222B83" w:rsidP="00222B8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Задачи Программы:</w:t>
      </w:r>
    </w:p>
    <w:p w:rsidR="00222B83" w:rsidRPr="00222B83" w:rsidRDefault="00222B83" w:rsidP="00222B8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Повышение уровня удовлетворенности населения качеством и доступностьюпредоставляемых услуг в сфере культуры.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Укрепление единства российского общества посредством приоритетного культурного и гуманитарного развития.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lastRenderedPageBreak/>
        <w:t>Сохранение исторического и культурного наследия и его использование для укрепления гражданской идентичности.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Создание условий для реализации каждым человеком его творческого потенциала.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zh-CN"/>
        </w:rPr>
        <w:t>Обеспечение гражданам доступа к знаниям, информации и культурным ценностям.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Повышение эффективности деятельностимуниципальных библиотек.</w:t>
      </w:r>
    </w:p>
    <w:p w:rsidR="00222B83" w:rsidRPr="00222B83" w:rsidRDefault="00222B83" w:rsidP="00222B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Cs/>
          <w:kern w:val="1"/>
          <w:sz w:val="28"/>
          <w:szCs w:val="28"/>
          <w:lang w:eastAsia="zh-CN"/>
        </w:rPr>
        <w:t>Обновление содержательной деятельности библиотек в ответ на изменение интересов, потребностей разных групп пользователей.</w:t>
      </w: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bCs/>
          <w:kern w:val="1"/>
          <w:sz w:val="28"/>
          <w:szCs w:val="28"/>
          <w:lang w:eastAsia="zh-CN"/>
        </w:rPr>
        <w:t>Сроки реализации Программы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2017 год.</w:t>
      </w: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Calibri" w:eastAsia="Calibri" w:hAnsi="Calibri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4. Перечень программных мероприятий</w:t>
      </w: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Сохранение и развитие библиотечного обслуживания: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Оказание муниципальной услуги библиотечного обслуживание населения;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Комплектование книжных фондов библиотек;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Методическая работа в сфере библиотечного обслуживания;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мероприятий по подключению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Работы по проведению культурно-просветительских мероприятий, выставок, фестивалей, конкурсов, конференций и иных мероприятий.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Участие в конкурсах профессионального мастерства;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Укрепление материально-технической базы, проведение текущих ремонтных работ помещений библиотек района;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Работа по созданию и актуализации сайта МУК ЦБС в информационно-телекоммуникационной сети «Интернет».</w:t>
      </w:r>
    </w:p>
    <w:p w:rsidR="00222B83" w:rsidRPr="00222B83" w:rsidRDefault="00222B83" w:rsidP="00222B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Развитие народного творчества, культурно-досуговая деятельность.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Укрепление материально-технической базы учреждений культуры;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культурно-массовых мероприятий, выставок, выставок-ярмарок, фестивалей, конкурсов, культурных акций, конференций, мастер-классов и иных мероприятий;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Методическая работа в установленной сфере деятельности;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Проведение киновидеосеансов;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Организации работы клубных формирований, кружков, любительских объединений, студий;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Участие клубных формирований, кружков, любительских объединений, студий в областных, межрегиональных, всероссийских фестивалях, конкурсах, выставках. </w:t>
      </w:r>
    </w:p>
    <w:p w:rsidR="00222B83" w:rsidRPr="00222B83" w:rsidRDefault="00222B83" w:rsidP="00222B8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Работа по созданию и актуализации сайта МУК ДНТД в информационно-телекоммуникационной сети «Интернет».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lastRenderedPageBreak/>
        <w:t>Перечень и финансирование мероприятий программы представлены в Приложении к Муниципальной  программе «Развитие культуры в Судиславском муниципальном районе Костромской области на 2017 год».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5. Ресурсное обеспечение Программы</w:t>
      </w: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20. Финансирование мероприятий Программы осуществляется за счет средств федерального, областного, муниципального бюджетов и внебюджетных источников. Общий объем финансирования Программы составляет 1084,17 тыс. руб., в том числе по источникам финансирования:</w:t>
      </w:r>
    </w:p>
    <w:p w:rsidR="00222B83" w:rsidRPr="00222B83" w:rsidRDefault="00222B83" w:rsidP="00222B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Федеральный бюджет — 600,0 тыс. руб</w:t>
      </w:r>
    </w:p>
    <w:p w:rsidR="00222B83" w:rsidRPr="00222B83" w:rsidRDefault="00222B83" w:rsidP="00222B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Областной бюджет — 66,67 тыс. руб.</w:t>
      </w:r>
    </w:p>
    <w:p w:rsidR="00222B83" w:rsidRPr="00222B83" w:rsidRDefault="00222B83" w:rsidP="00222B83">
      <w:pPr>
        <w:spacing w:after="0" w:line="240" w:lineRule="auto"/>
        <w:ind w:firstLine="54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Муниципальный бюджет – 417,5 тыс. руб.;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6. Механизм реализации Программы</w:t>
      </w:r>
    </w:p>
    <w:p w:rsidR="00222B83" w:rsidRPr="00222B83" w:rsidRDefault="00222B83" w:rsidP="00222B83">
      <w:pPr>
        <w:jc w:val="both"/>
        <w:rPr>
          <w:rFonts w:ascii="Calibri" w:eastAsia="Calibri" w:hAnsi="Calibri"/>
          <w:kern w:val="1"/>
          <w:lang w:eastAsia="zh-CN"/>
        </w:rPr>
      </w:pP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Заказчиком программы является администрация Судиславского муниципального района.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Управление и контроль за реализацией программы осуществляет – МКУ Отдел культуры, молодежи, спорта и туризма Судиславского муниципального района Костромской области.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МКУ Отдел культуры, молодежи, спорта и туризма Судиславского муниципального района Костромской области: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1)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целевому и эффективному использованию финансовых средств;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2) осуществляет контроль за исполнением мероприятий программы, организует ведение отчетности по программе и обеспечивает ее предоставление администрации Судиславского муниципального района;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3) обеспечивает подготовку и представление предложений по финансированию мероприятий программы на финансовый год;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4)    осуществляет мониторинг результатов реализации программы;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5) обеспечивает подготовку проектов постановлений администрации Судиславского муниципального района о внесении изменений в программу;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6) проводит оценку эффективности реализации программы.</w:t>
      </w:r>
    </w:p>
    <w:p w:rsidR="00222B83" w:rsidRPr="00222B83" w:rsidRDefault="00222B83" w:rsidP="00222B8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Механизм реализации Программы представляет собой взаимосвязанный комплекс мер и действий, экономических рычагов, средств, обеспечивающих решение поставленных задач, к которым относится: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а) правовое и методологическое обеспечение реализации Программы;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б) финансовое обеспечение реализации Программы;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в) организационное обеспечение реализации Программы.</w:t>
      </w:r>
    </w:p>
    <w:p w:rsidR="00222B83" w:rsidRPr="00222B83" w:rsidRDefault="00222B83" w:rsidP="00222B83">
      <w:pPr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7. Ожидаемые результаты реализации программы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ind w:left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Таблица 1</w:t>
      </w:r>
    </w:p>
    <w:p w:rsidR="00222B83" w:rsidRPr="00222B83" w:rsidRDefault="00222B83" w:rsidP="00222B83">
      <w:pPr>
        <w:spacing w:after="0" w:line="240" w:lineRule="auto"/>
        <w:ind w:left="720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Целевые индикаторы о показатели Программы</w:t>
      </w:r>
    </w:p>
    <w:tbl>
      <w:tblPr>
        <w:tblW w:w="0" w:type="auto"/>
        <w:tblInd w:w="-7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13"/>
        <w:gridCol w:w="3267"/>
        <w:gridCol w:w="2041"/>
        <w:gridCol w:w="2040"/>
        <w:gridCol w:w="1686"/>
      </w:tblGrid>
      <w:tr w:rsidR="00222B83" w:rsidRPr="00222B83" w:rsidTr="004253CE">
        <w:trPr>
          <w:cantSplit/>
        </w:trPr>
        <w:tc>
          <w:tcPr>
            <w:tcW w:w="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/>
              </w:rPr>
              <w:lastRenderedPageBreak/>
              <w:t xml:space="preserve">№ </w:t>
            </w: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3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Значение показателей</w:t>
            </w:r>
          </w:p>
        </w:tc>
      </w:tr>
      <w:tr w:rsidR="00222B83" w:rsidRPr="00222B83" w:rsidTr="004253CE">
        <w:trPr>
          <w:cantSplit/>
        </w:trPr>
        <w:tc>
          <w:tcPr>
            <w:tcW w:w="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2016 год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2017 год</w:t>
            </w:r>
          </w:p>
        </w:tc>
      </w:tr>
      <w:tr w:rsidR="00222B83" w:rsidRPr="00222B83" w:rsidTr="004253CE">
        <w:tc>
          <w:tcPr>
            <w:tcW w:w="98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ind w:left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Сохранение и развитие библиотечного обслуживания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пользователей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6125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6125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книговыдач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168807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168900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проведенных мероприятий различного уровня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870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 библиографических записей в сводном электронном каталоге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4286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5486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Доля обслуживаемого населения района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процент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44,5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45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посетителей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83119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83200</w:t>
            </w:r>
          </w:p>
        </w:tc>
      </w:tr>
      <w:tr w:rsidR="00222B83" w:rsidRPr="00222B83" w:rsidTr="004253CE">
        <w:tc>
          <w:tcPr>
            <w:tcW w:w="98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Развитие народного творчества, культурно-досуговая деятельность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350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посетителей культурно-массовых мероприятий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59863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61900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8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участий коллективов художественной творческой самодеятельности во всероссийских, региональных областных конкурсах, фестивалях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20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участников клубных формирований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1183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1193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Количество клубных формирований, формирований самодеятельного народного творчества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74</w:t>
            </w:r>
          </w:p>
        </w:tc>
      </w:tr>
      <w:tr w:rsidR="00222B83" w:rsidRPr="00222B83" w:rsidTr="004253CE"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 xml:space="preserve">Организация и проведение семинаров, фестивалей, конкурсов различного уровня для </w:t>
            </w: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lastRenderedPageBreak/>
              <w:t>культурно-досуговых учреждений поселений района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lastRenderedPageBreak/>
              <w:t>единиц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43</w:t>
            </w:r>
          </w:p>
        </w:tc>
      </w:tr>
    </w:tbl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Целевые индикаторы о показатели Программы рассчитываются на основании годовых отчетов учреждений культуры: МУК ЦБС и МУК ДНТД.</w:t>
      </w:r>
    </w:p>
    <w:p w:rsidR="00222B83" w:rsidRPr="00222B83" w:rsidRDefault="00222B83" w:rsidP="00222B83">
      <w:pPr>
        <w:spacing w:after="0" w:line="240" w:lineRule="auto"/>
        <w:ind w:left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b/>
          <w:i/>
          <w:kern w:val="1"/>
          <w:sz w:val="28"/>
          <w:szCs w:val="28"/>
          <w:lang w:eastAsia="zh-CN"/>
        </w:rPr>
        <w:t>Глава 8. Методика оценки эффективности программы</w:t>
      </w:r>
    </w:p>
    <w:p w:rsidR="00222B83" w:rsidRPr="00222B83" w:rsidRDefault="00222B83" w:rsidP="00222B8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Эффективность реализации Программы в целом оценивается исходя из достижения уровня по каждому из основных показателей (индикаторов) и оценки уровня полноты использования запланированных на реализацию Программы средств. Эффективность реализации Программы определяется по году ее реализации. </w:t>
      </w:r>
    </w:p>
    <w:p w:rsidR="00222B83" w:rsidRPr="00222B83" w:rsidRDefault="00222B83" w:rsidP="00222B83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Обязательным условием оценки эффективности реализации Программы является выполнение запланированных показателей (индикаторов) Программы в установленные сроки.</w:t>
      </w:r>
    </w:p>
    <w:p w:rsidR="00222B83" w:rsidRPr="00222B83" w:rsidRDefault="00222B83" w:rsidP="00222B83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Общая методика оценки эффективности Программы включает расчет степени достижения целевых показателей и расчет показателя полноты использования средств.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Расчет степени достижения целевых показателей Программы определяется как среднеарифметическая величина из показателей результативности по каждому целевому показателю:</w:t>
      </w:r>
    </w:p>
    <w:p w:rsidR="00222B83" w:rsidRPr="00222B83" w:rsidRDefault="00222B83" w:rsidP="00222B83">
      <w:pPr>
        <w:shd w:val="clear" w:color="auto" w:fill="FFFFFF"/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Calibri" w:eastAsia="Calibri" w:hAnsi="Calibri"/>
          <w:kern w:val="1"/>
          <w:lang w:eastAsia="zh-CN"/>
        </w:rPr>
        <w:object w:dxaOrig="131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8.75pt" o:ole="" filled="t">
            <v:fill opacity="0" color2="black"/>
            <v:imagedata r:id="rId7" o:title=""/>
          </v:shape>
          <o:OLEObject Type="Embed" ProgID="Equation.3" ShapeID="_x0000_i1025" DrawAspect="Content" ObjectID="_1566905933" r:id="rId8"/>
        </w:objec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,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(1)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где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i/>
          <w:iCs/>
          <w:kern w:val="1"/>
          <w:sz w:val="28"/>
          <w:szCs w:val="28"/>
          <w:lang w:eastAsia="zh-CN"/>
        </w:rPr>
      </w:pPr>
      <w:r w:rsidRPr="00222B83">
        <w:rPr>
          <w:rFonts w:ascii="Calibri" w:eastAsia="Calibri" w:hAnsi="Calibri"/>
          <w:kern w:val="1"/>
          <w:lang w:eastAsia="zh-CN"/>
        </w:rPr>
        <w:object w:dxaOrig="536" w:dyaOrig="319">
          <v:shape id="_x0000_i1026" type="#_x0000_t75" style="width:27pt;height:15.75pt" o:ole="" filled="t">
            <v:fill opacity="0" color2="black"/>
            <v:imagedata r:id="rId9" o:title=""/>
          </v:shape>
          <o:OLEObject Type="Embed" ProgID="Equation.3" ShapeID="_x0000_i1026" DrawAspect="Content" ObjectID="_1566905934" r:id="rId10"/>
        </w:objec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 степень достижения  целевых показателей Программы (результативность);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i/>
          <w:i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eastAsia="zh-CN"/>
        </w:rPr>
        <w:t>R</w:t>
      </w: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vertAlign w:val="subscript"/>
          <w:lang w:eastAsia="zh-CN"/>
        </w:rPr>
        <w:t>i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- степень достижения i-ого целевого показателя Программы;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val="en-US" w:eastAsia="zh-CN"/>
        </w:rPr>
        <w:t>n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– количество показателей Программы.</w:t>
      </w:r>
    </w:p>
    <w:p w:rsidR="00222B83" w:rsidRPr="00222B83" w:rsidRDefault="00222B83" w:rsidP="00222B83">
      <w:pPr>
        <w:tabs>
          <w:tab w:val="left" w:pos="254"/>
        </w:tabs>
        <w:spacing w:after="0"/>
        <w:ind w:firstLine="720"/>
        <w:jc w:val="both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Расчет результативности достижения </w:t>
      </w: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val="en-US" w:eastAsia="zh-CN"/>
        </w:rPr>
        <w:t>i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-го целевого показателя Программы (</w:t>
      </w: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val="en-US" w:eastAsia="zh-CN"/>
        </w:rPr>
        <w:t>R</w:t>
      </w: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vertAlign w:val="subscript"/>
          <w:lang w:eastAsia="zh-CN"/>
        </w:rPr>
        <w:t>i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) производится на основе сопоставления фактических величин с плановыми:</w:t>
      </w:r>
    </w:p>
    <w:p w:rsidR="00222B83" w:rsidRPr="00222B83" w:rsidRDefault="00222B83" w:rsidP="00222B83">
      <w:pPr>
        <w:tabs>
          <w:tab w:val="left" w:pos="0"/>
        </w:tabs>
        <w:spacing w:after="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Calibri" w:eastAsia="Calibri" w:hAnsi="Calibri"/>
          <w:kern w:val="1"/>
          <w:lang w:eastAsia="zh-CN"/>
        </w:rPr>
        <w:object w:dxaOrig="1158" w:dyaOrig="787">
          <v:shape id="_x0000_i1027" type="#_x0000_t75" style="width:57.75pt;height:39pt" o:ole="" filled="t">
            <v:fill opacity="0" color2="black"/>
            <v:imagedata r:id="rId11" o:title=""/>
          </v:shape>
          <o:OLEObject Type="Embed" ProgID="Equation.3" ShapeID="_x0000_i1027" DrawAspect="Content" ObjectID="_1566905935" r:id="rId12"/>
        </w:object>
      </w:r>
      <w:r w:rsidRPr="00222B83">
        <w:rPr>
          <w:rFonts w:ascii="Calibri" w:eastAsia="Calibri" w:hAnsi="Calibri" w:cs="Calibri"/>
          <w:kern w:val="1"/>
          <w:lang w:eastAsia="zh-CN"/>
        </w:rPr>
        <w:t xml:space="preserve">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(2)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Расчет показателя полноты использования средств определяется соотношением исполнения расходов по Программе в отчетном году с плановыми: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</w:t>
      </w:r>
    </w:p>
    <w:p w:rsidR="00222B83" w:rsidRPr="00222B83" w:rsidRDefault="00222B83" w:rsidP="00222B83">
      <w:pPr>
        <w:spacing w:after="0"/>
        <w:ind w:firstLine="72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                        </w:t>
      </w:r>
      <w:r w:rsidRPr="00222B83">
        <w:rPr>
          <w:rFonts w:ascii="Calibri" w:eastAsia="Calibri" w:hAnsi="Calibri"/>
          <w:kern w:val="1"/>
          <w:lang w:eastAsia="zh-CN"/>
        </w:rPr>
        <w:object w:dxaOrig="1403" w:dyaOrig="745">
          <v:shape id="_x0000_i1028" type="#_x0000_t75" style="width:70.5pt;height:37.5pt" o:ole="" filled="t">
            <v:fill opacity="0" color2="black"/>
            <v:imagedata r:id="rId13" o:title=""/>
          </v:shape>
          <o:OLEObject Type="Embed" ProgID="Equation.3" ShapeID="_x0000_i1028" DrawAspect="Content" ObjectID="_1566905936" r:id="rId14"/>
        </w:objec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,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 xml:space="preserve">                 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(3)</w:t>
      </w:r>
    </w:p>
    <w:p w:rsidR="00222B83" w:rsidRPr="00222B83" w:rsidRDefault="00222B83" w:rsidP="00222B83">
      <w:pPr>
        <w:tabs>
          <w:tab w:val="left" w:pos="254"/>
        </w:tabs>
        <w:spacing w:after="0"/>
        <w:ind w:firstLine="720"/>
        <w:jc w:val="both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Эффективность реализации Программы (</w:t>
      </w:r>
      <w:r w:rsidRPr="00222B83">
        <w:rPr>
          <w:rFonts w:ascii="Times New Roman" w:eastAsia="Calibri" w:hAnsi="Times New Roman"/>
          <w:kern w:val="1"/>
          <w:sz w:val="28"/>
          <w:szCs w:val="28"/>
          <w:lang w:val="en-US" w:eastAsia="zh-CN"/>
        </w:rPr>
        <w:t>E</w:t>
      </w:r>
      <w:r w:rsidRPr="00222B83">
        <w:rPr>
          <w:rFonts w:ascii="Times New Roman" w:eastAsia="Calibri" w:hAnsi="Times New Roman"/>
          <w:kern w:val="1"/>
          <w:sz w:val="28"/>
          <w:szCs w:val="28"/>
          <w:vertAlign w:val="subscript"/>
          <w:lang w:eastAsia="zh-CN"/>
        </w:rPr>
        <w:t>гп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) определяется на основе сопоставления степени достижения целевых показателей  Программы (результативности) и полноты использования запланированных средств:</w:t>
      </w:r>
    </w:p>
    <w:p w:rsidR="00222B83" w:rsidRPr="00222B83" w:rsidRDefault="00222B83" w:rsidP="00222B83">
      <w:pPr>
        <w:tabs>
          <w:tab w:val="left" w:pos="254"/>
        </w:tabs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Calibri" w:eastAsia="Calibri" w:hAnsi="Calibri"/>
          <w:kern w:val="1"/>
          <w:lang w:eastAsia="zh-CN"/>
        </w:rPr>
        <w:object w:dxaOrig="2059" w:dyaOrig="319">
          <v:shape id="_x0000_i1029" type="#_x0000_t75" style="width:102.75pt;height:15.75pt" o:ole="" filled="t">
            <v:fill opacity="0" color2="black"/>
            <v:imagedata r:id="rId15" o:title=""/>
          </v:shape>
          <o:OLEObject Type="Embed" ProgID="Equation.3" ShapeID="_x0000_i1029" DrawAspect="Content" ObjectID="_1566905937" r:id="rId16"/>
        </w:object>
      </w:r>
      <w:r w:rsidRPr="00222B83">
        <w:rPr>
          <w:rFonts w:ascii="Times New Roman" w:eastAsia="Calibri" w:hAnsi="Times New Roman"/>
          <w:kern w:val="1"/>
          <w:position w:val="-4"/>
          <w:sz w:val="28"/>
          <w:szCs w:val="28"/>
          <w:lang w:eastAsia="zh-CN"/>
        </w:rPr>
        <w:t>,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(4)</w:t>
      </w:r>
    </w:p>
    <w:p w:rsidR="00222B83" w:rsidRPr="00222B83" w:rsidRDefault="00222B83" w:rsidP="00222B83">
      <w:pPr>
        <w:tabs>
          <w:tab w:val="left" w:pos="254"/>
          <w:tab w:val="left" w:pos="709"/>
        </w:tabs>
        <w:spacing w:after="0"/>
        <w:ind w:firstLine="720"/>
        <w:rPr>
          <w:rFonts w:ascii="Times New Roman" w:eastAsia="Calibri" w:hAnsi="Times New Roman"/>
          <w:i/>
          <w:iCs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где 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Calibri" w:eastAsia="Calibri" w:hAnsi="Calibri"/>
          <w:kern w:val="1"/>
          <w:lang w:eastAsia="zh-CN"/>
        </w:rPr>
      </w:pP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val="en-US" w:eastAsia="zh-CN"/>
        </w:rPr>
        <w:t>k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– поправочный коэффициент, учитывающий качество планирования и координации реализации Программы, рассчитываемый по формуле</w:t>
      </w:r>
    </w:p>
    <w:p w:rsidR="00222B83" w:rsidRPr="00222B83" w:rsidRDefault="00222B83" w:rsidP="00222B83">
      <w:pPr>
        <w:spacing w:after="0"/>
        <w:ind w:firstLine="720"/>
        <w:jc w:val="right"/>
        <w:rPr>
          <w:rFonts w:ascii="Calibri" w:eastAsia="Calibri" w:hAnsi="Calibri"/>
          <w:kern w:val="1"/>
          <w:lang w:eastAsia="zh-CN"/>
        </w:rPr>
      </w:pPr>
    </w:p>
    <w:p w:rsidR="00222B83" w:rsidRPr="00222B83" w:rsidRDefault="00222B83" w:rsidP="00222B83">
      <w:pPr>
        <w:spacing w:after="0"/>
        <w:jc w:val="right"/>
        <w:rPr>
          <w:rFonts w:ascii="Calibri" w:eastAsia="Calibri" w:hAnsi="Calibri"/>
          <w:kern w:val="1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Calibri" w:eastAsia="Calibri" w:hAnsi="Calibri"/>
          <w:kern w:val="1"/>
          <w:lang w:eastAsia="zh-CN"/>
        </w:rPr>
        <w:object w:dxaOrig="1570" w:dyaOrig="319">
          <v:shape id="_x0000_i1030" type="#_x0000_t75" style="width:78.75pt;height:15.75pt" o:ole="" filled="t">
            <v:fill opacity="0" color2="black"/>
            <v:imagedata r:id="rId17" o:title=""/>
          </v:shape>
          <o:OLEObject Type="Embed" ProgID="Equation.3" ShapeID="_x0000_i1030" DrawAspect="Content" ObjectID="_1566905938" r:id="rId18"/>
        </w:object>
      </w:r>
      <w:r w:rsidRPr="00222B83">
        <w:rPr>
          <w:rFonts w:ascii="Times New Roman" w:eastAsia="Calibri" w:hAnsi="Times New Roman"/>
          <w:kern w:val="1"/>
          <w:position w:val="-8"/>
          <w:sz w:val="28"/>
          <w:szCs w:val="28"/>
          <w:lang w:eastAsia="zh-CN"/>
        </w:rPr>
        <w:t>,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  <w:t>(5)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Значения </w:t>
      </w:r>
      <w:r w:rsidRPr="00222B83">
        <w:rPr>
          <w:rFonts w:ascii="Times New Roman" w:eastAsia="Calibri" w:hAnsi="Times New Roman"/>
          <w:i/>
          <w:iCs/>
          <w:kern w:val="1"/>
          <w:sz w:val="28"/>
          <w:szCs w:val="28"/>
          <w:lang w:val="en-US" w:eastAsia="zh-CN"/>
        </w:rPr>
        <w:t>k</w:t>
      </w: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представлены в таблице № 2.</w:t>
      </w: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Таблица № 2</w:t>
      </w:r>
    </w:p>
    <w:p w:rsidR="00222B83" w:rsidRPr="00222B83" w:rsidRDefault="00222B83" w:rsidP="00222B83">
      <w:pPr>
        <w:spacing w:after="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Значения поправочного коэффициента, учитывающего качество планирования и координации реализации Программы</w:t>
      </w:r>
    </w:p>
    <w:p w:rsidR="00222B83" w:rsidRPr="00222B83" w:rsidRDefault="00222B83" w:rsidP="00222B83">
      <w:pPr>
        <w:spacing w:after="0"/>
        <w:ind w:firstLine="72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tbl>
      <w:tblPr>
        <w:tblW w:w="0" w:type="auto"/>
        <w:tblInd w:w="3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57"/>
        <w:gridCol w:w="4957"/>
      </w:tblGrid>
      <w:tr w:rsidR="00222B83" w:rsidRPr="00222B83" w:rsidTr="004253CE">
        <w:trPr>
          <w:tblHeader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Times New Roman" w:eastAsia="Calibri" w:hAnsi="Times New Roman"/>
                <w:i/>
                <w:iCs/>
                <w:kern w:val="1"/>
                <w:sz w:val="28"/>
                <w:szCs w:val="28"/>
                <w:lang w:val="en-US" w:eastAsia="zh-CN"/>
              </w:rPr>
            </w:pPr>
            <w:r w:rsidRPr="00222B83">
              <w:rPr>
                <w:rFonts w:ascii="Calibri" w:eastAsia="Calibri" w:hAnsi="Calibri"/>
                <w:kern w:val="1"/>
                <w:lang w:eastAsia="zh-CN"/>
              </w:rPr>
              <w:object w:dxaOrig="1298" w:dyaOrig="319">
                <v:shape id="_x0000_i1031" type="#_x0000_t75" style="width:65.25pt;height:15.75pt" o:ole="" filled="t">
                  <v:fill opacity="0" color2="black"/>
                  <v:imagedata r:id="rId19" o:title=""/>
                </v:shape>
                <o:OLEObject Type="Embed" ProgID="Equation.3" ShapeID="_x0000_i1031" DrawAspect="Content" ObjectID="_1566905939" r:id="rId20"/>
              </w:objec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i/>
                <w:iCs/>
                <w:kern w:val="1"/>
                <w:sz w:val="28"/>
                <w:szCs w:val="28"/>
                <w:lang w:val="en-US" w:eastAsia="zh-CN"/>
              </w:rPr>
              <w:t>k</w:t>
            </w:r>
          </w:p>
        </w:tc>
      </w:tr>
      <w:tr w:rsidR="00222B83" w:rsidRPr="00222B83" w:rsidTr="004253CE"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0,00 … 0,10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1,25</w:t>
            </w:r>
          </w:p>
        </w:tc>
      </w:tr>
      <w:tr w:rsidR="00222B83" w:rsidRPr="00222B83" w:rsidTr="004253CE"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0,11 … 0,20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1,10</w:t>
            </w:r>
          </w:p>
        </w:tc>
      </w:tr>
      <w:tr w:rsidR="00222B83" w:rsidRPr="00222B83" w:rsidTr="004253CE"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0,21 … 0,25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1,00</w:t>
            </w:r>
          </w:p>
        </w:tc>
      </w:tr>
      <w:tr w:rsidR="00222B83" w:rsidRPr="00222B83" w:rsidTr="004253CE"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0,26 … 0,35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0,90</w:t>
            </w:r>
          </w:p>
        </w:tc>
      </w:tr>
      <w:tr w:rsidR="00222B83" w:rsidRPr="00222B83" w:rsidTr="004253CE"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Свыше 0,35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ind w:firstLine="72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0,75</w:t>
            </w:r>
          </w:p>
        </w:tc>
      </w:tr>
    </w:tbl>
    <w:p w:rsidR="00222B83" w:rsidRPr="00222B83" w:rsidRDefault="00222B83" w:rsidP="00222B83">
      <w:pPr>
        <w:spacing w:after="0"/>
        <w:ind w:firstLine="720"/>
        <w:rPr>
          <w:rFonts w:ascii="Times New Roman" w:eastAsia="Calibri" w:hAnsi="Times New Roman"/>
          <w:kern w:val="1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По результатам итоговой оценки эффективности реализации Программы принимается следующее решение: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1) Программа высокоэффективная;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2) Программа эффективная;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3) Программа имеет удовлетворительную эффективность;</w:t>
      </w:r>
    </w:p>
    <w:p w:rsidR="00222B83" w:rsidRPr="00222B83" w:rsidRDefault="00222B83" w:rsidP="00222B83">
      <w:pPr>
        <w:spacing w:after="0"/>
        <w:ind w:firstLine="720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4) Программа неэффективная.</w:t>
      </w:r>
    </w:p>
    <w:p w:rsidR="00222B83" w:rsidRPr="00222B83" w:rsidRDefault="00222B83" w:rsidP="00222B83">
      <w:pPr>
        <w:spacing w:after="0"/>
        <w:ind w:firstLine="708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Вывод об эффективности (неэффективности) Программы определяется на основании следующих критериев:</w:t>
      </w: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Таблица № 3</w:t>
      </w:r>
    </w:p>
    <w:p w:rsidR="00222B83" w:rsidRPr="00222B83" w:rsidRDefault="00222B83" w:rsidP="00222B83">
      <w:pPr>
        <w:spacing w:after="0"/>
        <w:ind w:firstLine="720"/>
        <w:jc w:val="right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/>
        <w:ind w:firstLine="72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222B83">
        <w:rPr>
          <w:rFonts w:ascii="Times New Roman" w:eastAsia="Calibri" w:hAnsi="Times New Roman"/>
          <w:kern w:val="1"/>
          <w:sz w:val="28"/>
          <w:szCs w:val="28"/>
          <w:lang w:eastAsia="zh-CN"/>
        </w:rPr>
        <w:t>Критерии эффективности (неэффективности) Программы</w:t>
      </w:r>
    </w:p>
    <w:p w:rsidR="00222B83" w:rsidRPr="00222B83" w:rsidRDefault="00222B83" w:rsidP="00222B83">
      <w:pPr>
        <w:spacing w:after="0"/>
        <w:ind w:firstLine="720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tbl>
      <w:tblPr>
        <w:tblW w:w="0" w:type="auto"/>
        <w:tblInd w:w="3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628"/>
        <w:gridCol w:w="3148"/>
      </w:tblGrid>
      <w:tr w:rsidR="00222B83" w:rsidRPr="00222B83" w:rsidTr="004253CE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Вывод об эффективности (неэффективности) Программы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Значение критерия</w:t>
            </w:r>
          </w:p>
        </w:tc>
      </w:tr>
      <w:tr w:rsidR="00222B83" w:rsidRPr="00222B83" w:rsidTr="004253CE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both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Неэффективная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Менее 0,40</w:t>
            </w:r>
          </w:p>
        </w:tc>
      </w:tr>
      <w:tr w:rsidR="00222B83" w:rsidRPr="00222B83" w:rsidTr="004253CE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both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0,40 … 0,79</w:t>
            </w:r>
          </w:p>
        </w:tc>
      </w:tr>
      <w:tr w:rsidR="00222B83" w:rsidRPr="00222B83" w:rsidTr="004253CE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both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Эффективная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0,80 … 0,95</w:t>
            </w:r>
          </w:p>
        </w:tc>
      </w:tr>
      <w:tr w:rsidR="00222B83" w:rsidRPr="00222B83" w:rsidTr="004253CE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both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Высокоэффективная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2B83" w:rsidRPr="00222B83" w:rsidRDefault="00222B83" w:rsidP="00222B83">
            <w:pPr>
              <w:spacing w:after="0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8"/>
                <w:szCs w:val="28"/>
                <w:lang w:eastAsia="zh-CN"/>
              </w:rPr>
              <w:t>Более 0,95</w:t>
            </w:r>
          </w:p>
        </w:tc>
      </w:tr>
    </w:tbl>
    <w:p w:rsidR="00222B83" w:rsidRPr="00222B83" w:rsidRDefault="00222B83" w:rsidP="00222B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1"/>
          <w:lang w:eastAsia="zh-CN"/>
        </w:rPr>
        <w:sectPr w:rsidR="00222B83" w:rsidRPr="00222B83">
          <w:pgSz w:w="11906" w:h="16838"/>
          <w:pgMar w:top="567" w:right="1134" w:bottom="851" w:left="1134" w:header="720" w:footer="720" w:gutter="0"/>
          <w:cols w:space="720"/>
          <w:docGrid w:linePitch="360" w:charSpace="-2458"/>
        </w:sectPr>
      </w:pP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>Приложение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 Муниципальной программе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«Развитие культуры в Судиславском муниципальном районе 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222B8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Костромской области на 2017 год»</w:t>
      </w: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</w:p>
    <w:p w:rsidR="00222B83" w:rsidRPr="00222B83" w:rsidRDefault="00222B83" w:rsidP="00222B83">
      <w:pPr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222B83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Мероприятия муниципальной  программы «Развитие культуры в Судиславском муниципальном районе Костромской области на 2017 год».</w:t>
      </w:r>
    </w:p>
    <w:tbl>
      <w:tblPr>
        <w:tblW w:w="0" w:type="auto"/>
        <w:tblInd w:w="-3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909"/>
        <w:gridCol w:w="1839"/>
        <w:gridCol w:w="1983"/>
        <w:gridCol w:w="2344"/>
        <w:gridCol w:w="1660"/>
        <w:gridCol w:w="1345"/>
      </w:tblGrid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Ответственный</w:t>
            </w:r>
          </w:p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Главный</w:t>
            </w:r>
          </w:p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распорядитель бюджетных средств</w:t>
            </w:r>
          </w:p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(ответственный исполнитель)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Участники мероприятия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Источник</w:t>
            </w:r>
          </w:p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Calibri" w:hAnsi="Calibri"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kern w:val="1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Calibri" w:hAnsi="Times New Roman"/>
                <w:bCs/>
                <w:kern w:val="1"/>
                <w:sz w:val="24"/>
                <w:szCs w:val="24"/>
                <w:lang w:eastAsia="zh-CN"/>
              </w:rPr>
              <w:t>Планируемый объем средств, тыс. рублей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Всего в тыс. руб.</w:t>
            </w:r>
          </w:p>
        </w:tc>
      </w:tr>
      <w:tr w:rsidR="00222B83" w:rsidRPr="00222B83" w:rsidTr="004253CE">
        <w:tc>
          <w:tcPr>
            <w:tcW w:w="148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Сохранение и развитие библиотечного обслуживания.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Оказание муниципальной услуги библиотечного обслуживание населения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МУК ЦБС 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rPr>
          <w:trHeight w:val="406"/>
        </w:trPr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Комплектование книжных фондов библиотек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color w:val="000000"/>
                <w:kern w:val="1"/>
                <w:sz w:val="23"/>
                <w:szCs w:val="23"/>
                <w:lang w:eastAsia="zh-CN"/>
              </w:rPr>
              <w:t xml:space="preserve">Подписка на периодические издания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70,0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color w:val="000000"/>
                <w:kern w:val="1"/>
                <w:sz w:val="23"/>
                <w:szCs w:val="23"/>
                <w:lang w:eastAsia="zh-CN"/>
              </w:rPr>
              <w:t xml:space="preserve">Приобретение </w:t>
            </w:r>
            <w:r w:rsidRPr="00222B83">
              <w:rPr>
                <w:rFonts w:ascii="Times New Roman" w:eastAsia="Calibri" w:hAnsi="Times New Roman"/>
                <w:color w:val="000000"/>
                <w:kern w:val="1"/>
                <w:sz w:val="23"/>
                <w:szCs w:val="23"/>
                <w:lang w:eastAsia="zh-CN"/>
              </w:rPr>
              <w:lastRenderedPageBreak/>
              <w:t xml:space="preserve">компьютерного, специального библиотечного оборудования и инвентаря 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МКУ Отдел </w:t>
            </w: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 xml:space="preserve">МКУ Отдел </w:t>
            </w: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культуры Судиславского района, 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50,0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Методическая работа в сфере библиотечного обслуживания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Подключение библиотек к информационно-телекоммуникационной сети «Интернет» (обслуживание модемов)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36,0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Проведение культурно-просветительских мероприятий, выставок, фестивалей, конкурсов, конференций и иных мероприятий.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Участие в конкурсах профессионального мастерства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1,5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  <w:t>Работа по созданию и актуализации сайта МУК ЦБС в информационно-телекоммуникационной сети «Интернет».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ЦБС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ЦБС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rPr>
          <w:trHeight w:val="345"/>
        </w:trPr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Итого по мероприятию 1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197,5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197,5</w:t>
            </w:r>
          </w:p>
        </w:tc>
      </w:tr>
      <w:tr w:rsidR="00222B83" w:rsidRPr="00222B83" w:rsidTr="004253CE">
        <w:tc>
          <w:tcPr>
            <w:tcW w:w="148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II</w:t>
            </w: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Развитие народного творчества, культурно-досуговая деятельность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Развитие и крепление материально-технической базы МУК ДНТД: </w:t>
            </w:r>
          </w:p>
          <w:p w:rsidR="00222B83" w:rsidRPr="00222B83" w:rsidRDefault="00222B83" w:rsidP="00222B8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436"/>
        </w:trPr>
        <w:tc>
          <w:tcPr>
            <w:tcW w:w="75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10.1.</w:t>
            </w:r>
          </w:p>
        </w:tc>
        <w:tc>
          <w:tcPr>
            <w:tcW w:w="29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Приобретение звукоусилительного оборудования </w:t>
            </w:r>
          </w:p>
        </w:tc>
        <w:tc>
          <w:tcPr>
            <w:tcW w:w="19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МУК ДНТД, МУ 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570,0</w:t>
            </w:r>
          </w:p>
        </w:tc>
        <w:tc>
          <w:tcPr>
            <w:tcW w:w="13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696,67</w:t>
            </w:r>
          </w:p>
        </w:tc>
      </w:tr>
      <w:tr w:rsidR="00222B83" w:rsidRPr="00222B83" w:rsidTr="004253CE">
        <w:trPr>
          <w:cantSplit/>
          <w:trHeight w:val="428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66,67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255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375"/>
        </w:trPr>
        <w:tc>
          <w:tcPr>
            <w:tcW w:w="75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10.2.</w:t>
            </w:r>
          </w:p>
        </w:tc>
        <w:tc>
          <w:tcPr>
            <w:tcW w:w="29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Приобретение компьютерной техники</w:t>
            </w:r>
          </w:p>
        </w:tc>
        <w:tc>
          <w:tcPr>
            <w:tcW w:w="19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МКУ Отдел культуры Судиславского района </w:t>
            </w:r>
          </w:p>
        </w:tc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МУК ДНТД, МУ 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3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50,0</w:t>
            </w:r>
          </w:p>
        </w:tc>
      </w:tr>
      <w:tr w:rsidR="00222B83" w:rsidRPr="00222B83" w:rsidTr="004253CE">
        <w:trPr>
          <w:cantSplit/>
          <w:trHeight w:val="277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trHeight w:val="495"/>
        </w:trPr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Проведение культурно-массовых мероприятий, выставок, выставок-ярмарок, фестивалей, конкурсов, культурных акций, конференций, мастер-классов и иных мероприятий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110,0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Методическая работа в установленной сфере деятельности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Проведение киновидеосеансов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Участие в областных, </w:t>
            </w: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межрегиональных, всероссийских фестивалях, конкурсах, выставках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МКУ Отдел </w:t>
            </w: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 xml:space="preserve">МКУ Отдел </w:t>
            </w: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культуры Судиславского района, 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Местный бюджет</w:t>
            </w:r>
          </w:p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30,0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30,0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Организации работы клубных формирований, кружков, любительских объединений, студий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c>
          <w:tcPr>
            <w:tcW w:w="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zh-CN"/>
              </w:rPr>
              <w:t>Работа по созданию и актуализации сайта МУК ЦБС в информационно-телекоммуникационной сети «Интернет».</w:t>
            </w:r>
          </w:p>
        </w:tc>
        <w:tc>
          <w:tcPr>
            <w:tcW w:w="1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МУК ДНТД</w:t>
            </w:r>
          </w:p>
        </w:tc>
        <w:tc>
          <w:tcPr>
            <w:tcW w:w="1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МКУ Отдел культуры Судиславского района, МУК ДНТД</w:t>
            </w: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Без дополнительного финансирования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222B83" w:rsidRPr="00222B83" w:rsidTr="004253CE">
        <w:trPr>
          <w:cantSplit/>
          <w:trHeight w:val="699"/>
        </w:trPr>
        <w:tc>
          <w:tcPr>
            <w:tcW w:w="75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222B83"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Итого по мероприятию </w:t>
            </w:r>
            <w:r w:rsidRPr="00222B83"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val="en-US" w:eastAsia="zh-CN"/>
              </w:rPr>
              <w:t>II</w:t>
            </w: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val="en-US" w:eastAsia="zh-CN"/>
              </w:rPr>
            </w:pP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val="en-US" w:eastAsia="zh-CN"/>
              </w:rPr>
            </w:pP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600,</w:t>
            </w: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886,67</w:t>
            </w:r>
          </w:p>
        </w:tc>
      </w:tr>
      <w:tr w:rsidR="00222B83" w:rsidRPr="00222B83" w:rsidTr="004253CE">
        <w:trPr>
          <w:cantSplit/>
          <w:trHeight w:val="345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66,67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345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330"/>
        </w:trPr>
        <w:tc>
          <w:tcPr>
            <w:tcW w:w="75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 w:rsidRPr="00222B83"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>Всего по программе:</w:t>
            </w: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222B83" w:rsidRPr="00222B83" w:rsidRDefault="00222B83" w:rsidP="00222B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13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1084,17</w:t>
            </w:r>
          </w:p>
        </w:tc>
      </w:tr>
      <w:tr w:rsidR="00222B83" w:rsidRPr="00222B83" w:rsidTr="004253CE">
        <w:trPr>
          <w:cantSplit/>
          <w:trHeight w:val="375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66,67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22B83" w:rsidRPr="00222B83" w:rsidTr="004253CE">
        <w:trPr>
          <w:cantSplit/>
          <w:trHeight w:val="165"/>
        </w:trPr>
        <w:tc>
          <w:tcPr>
            <w:tcW w:w="7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zh-CN"/>
              </w:rPr>
            </w:pPr>
            <w:r w:rsidRPr="00222B83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>417,5</w:t>
            </w:r>
          </w:p>
        </w:tc>
        <w:tc>
          <w:tcPr>
            <w:tcW w:w="13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2B83" w:rsidRPr="00222B83" w:rsidRDefault="00222B83" w:rsidP="00222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222B83" w:rsidRPr="00222B83" w:rsidRDefault="00222B83" w:rsidP="00222B83">
      <w:pPr>
        <w:spacing w:after="0" w:line="240" w:lineRule="auto"/>
        <w:rPr>
          <w:rFonts w:ascii="Calibri" w:eastAsia="Times New Roman" w:hAnsi="Calibri" w:cs="Calibri"/>
          <w:b/>
          <w:bCs/>
          <w:kern w:val="1"/>
          <w:lang w:eastAsia="zh-CN"/>
        </w:rPr>
      </w:pPr>
    </w:p>
    <w:p w:rsidR="00222B83" w:rsidRPr="00222B83" w:rsidRDefault="00222B83" w:rsidP="00222B83">
      <w:pPr>
        <w:rPr>
          <w:rFonts w:ascii="Calibri" w:eastAsia="Calibri" w:hAnsi="Calibri"/>
          <w:kern w:val="1"/>
          <w:lang w:eastAsia="zh-CN"/>
        </w:rPr>
      </w:pPr>
    </w:p>
    <w:p w:rsidR="00222B83" w:rsidRDefault="00222B83"/>
    <w:sectPr w:rsidR="00222B83" w:rsidSect="00222B83">
      <w:footerReference w:type="default" r:id="rId21"/>
      <w:pgSz w:w="16838" w:h="11906" w:orient="landscape"/>
      <w:pgMar w:top="1701" w:right="1134" w:bottom="850" w:left="1686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51" w:rsidRDefault="00BC7351">
      <w:pPr>
        <w:spacing w:after="0" w:line="240" w:lineRule="auto"/>
      </w:pPr>
      <w:r>
        <w:separator/>
      </w:r>
    </w:p>
  </w:endnote>
  <w:endnote w:type="continuationSeparator" w:id="0">
    <w:p w:rsidR="00BC7351" w:rsidRDefault="00B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AC" w:rsidRDefault="00BC7351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AC244F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51" w:rsidRDefault="00BC7351">
      <w:pPr>
        <w:spacing w:after="0" w:line="240" w:lineRule="auto"/>
      </w:pPr>
      <w:r>
        <w:separator/>
      </w:r>
    </w:p>
  </w:footnote>
  <w:footnote w:type="continuationSeparator" w:id="0">
    <w:p w:rsidR="00BC7351" w:rsidRDefault="00BC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eastAsia="Calibri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Times New Roman" w:eastAsia="Calibri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eastAsia="Calibri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Times New Roman" w:eastAsia="Calibri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Times New Roman" w:eastAsia="Calibri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Times New Roman" w:eastAsia="Calibri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Times New Roman" w:eastAsia="Calibri" w:hAnsi="Times New Roman" w:cs="Times New Roman"/>
        <w:sz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b w:val="0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b w:val="0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A4D27E0"/>
    <w:multiLevelType w:val="multilevel"/>
    <w:tmpl w:val="130046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92418"/>
    <w:multiLevelType w:val="multilevel"/>
    <w:tmpl w:val="DE982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Calibri" w:hAnsi="Times New Roman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/>
        <w:sz w:val="28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Calibri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Calibri"/>
        <w:sz w:val="28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="Calibri"/>
        <w:sz w:val="28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Calibri"/>
        <w:sz w:val="28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eastAsia="Calibri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eastAsia="Calibri"/>
        <w:sz w:val="28"/>
      </w:rPr>
    </w:lvl>
  </w:abstractNum>
  <w:abstractNum w:abstractNumId="7" w15:restartNumberingAfterBreak="0">
    <w:nsid w:val="37E62EDE"/>
    <w:multiLevelType w:val="multilevel"/>
    <w:tmpl w:val="619893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8" w15:restartNumberingAfterBreak="0">
    <w:nsid w:val="3857282A"/>
    <w:multiLevelType w:val="multilevel"/>
    <w:tmpl w:val="1D7205E4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20574"/>
    <w:multiLevelType w:val="multilevel"/>
    <w:tmpl w:val="B180F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8123B93"/>
    <w:multiLevelType w:val="multilevel"/>
    <w:tmpl w:val="7A4C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9AC"/>
    <w:rsid w:val="00174884"/>
    <w:rsid w:val="00222B83"/>
    <w:rsid w:val="005E29AC"/>
    <w:rsid w:val="006C0FB1"/>
    <w:rsid w:val="00A579FD"/>
    <w:rsid w:val="00AC244F"/>
    <w:rsid w:val="00BC7351"/>
    <w:rsid w:val="00DF286F"/>
    <w:rsid w:val="00E1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38D9-C288-4D8F-B08F-C4C50A4A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28"/>
    <w:pPr>
      <w:suppressAutoHyphens/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0E1D28"/>
    <w:rPr>
      <w:rFonts w:eastAsia="Times New Roman" w:cs="Calibri"/>
      <w:lang w:eastAsia="ar-SA"/>
    </w:rPr>
  </w:style>
  <w:style w:type="character" w:customStyle="1" w:styleId="ListLabel1">
    <w:name w:val="ListLabel 1"/>
    <w:qFormat/>
    <w:rPr>
      <w:rFonts w:ascii="Times New Roman" w:eastAsia="Calibri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b w:val="0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eastAsia="Calibri" w:hAnsi="Times New Roman"/>
      <w:sz w:val="28"/>
    </w:rPr>
  </w:style>
  <w:style w:type="character" w:customStyle="1" w:styleId="ListLabel6">
    <w:name w:val="ListLabel 6"/>
    <w:qFormat/>
    <w:rPr>
      <w:rFonts w:ascii="Times New Roman" w:hAnsi="Times New Roman" w:cs="Symbol"/>
      <w:b w:val="0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eastAsia="Calibri" w:hAnsi="Times New Roman"/>
      <w:sz w:val="28"/>
    </w:rPr>
  </w:style>
  <w:style w:type="character" w:customStyle="1" w:styleId="ListLabel10">
    <w:name w:val="ListLabel 10"/>
    <w:qFormat/>
    <w:rPr>
      <w:rFonts w:eastAsia="Calibri"/>
      <w:sz w:val="28"/>
    </w:rPr>
  </w:style>
  <w:style w:type="character" w:customStyle="1" w:styleId="ListLabel11">
    <w:name w:val="ListLabel 11"/>
    <w:qFormat/>
    <w:rPr>
      <w:rFonts w:eastAsia="Calibri"/>
      <w:sz w:val="28"/>
    </w:rPr>
  </w:style>
  <w:style w:type="character" w:customStyle="1" w:styleId="ListLabel12">
    <w:name w:val="ListLabel 12"/>
    <w:qFormat/>
    <w:rPr>
      <w:rFonts w:eastAsia="Calibri"/>
      <w:sz w:val="28"/>
    </w:rPr>
  </w:style>
  <w:style w:type="character" w:customStyle="1" w:styleId="ListLabel13">
    <w:name w:val="ListLabel 13"/>
    <w:qFormat/>
    <w:rPr>
      <w:rFonts w:eastAsia="Calibri"/>
      <w:sz w:val="28"/>
    </w:rPr>
  </w:style>
  <w:style w:type="character" w:customStyle="1" w:styleId="ListLabel14">
    <w:name w:val="ListLabel 14"/>
    <w:qFormat/>
    <w:rPr>
      <w:rFonts w:eastAsia="Calibri"/>
      <w:sz w:val="28"/>
    </w:rPr>
  </w:style>
  <w:style w:type="character" w:customStyle="1" w:styleId="ListLabel15">
    <w:name w:val="ListLabel 15"/>
    <w:qFormat/>
    <w:rPr>
      <w:rFonts w:eastAsia="Calibri"/>
      <w:sz w:val="28"/>
    </w:rPr>
  </w:style>
  <w:style w:type="character" w:customStyle="1" w:styleId="ListLabel16">
    <w:name w:val="ListLabel 16"/>
    <w:qFormat/>
    <w:rPr>
      <w:rFonts w:eastAsia="Calibri"/>
      <w:sz w:val="28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b w:val="0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b w:val="0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 w:val="0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b w:val="0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b w:val="0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eastAsia="Calibri" w:hAnsi="Times New Roman"/>
      <w:sz w:val="28"/>
    </w:rPr>
  </w:style>
  <w:style w:type="character" w:customStyle="1" w:styleId="ListLabel36">
    <w:name w:val="ListLabel 36"/>
    <w:qFormat/>
    <w:rPr>
      <w:rFonts w:eastAsia="Calibri"/>
      <w:sz w:val="28"/>
    </w:rPr>
  </w:style>
  <w:style w:type="character" w:customStyle="1" w:styleId="ListLabel37">
    <w:name w:val="ListLabel 37"/>
    <w:qFormat/>
    <w:rPr>
      <w:rFonts w:eastAsia="Calibri"/>
      <w:sz w:val="28"/>
    </w:rPr>
  </w:style>
  <w:style w:type="character" w:customStyle="1" w:styleId="ListLabel38">
    <w:name w:val="ListLabel 38"/>
    <w:qFormat/>
    <w:rPr>
      <w:rFonts w:eastAsia="Calibri"/>
      <w:sz w:val="28"/>
    </w:rPr>
  </w:style>
  <w:style w:type="character" w:customStyle="1" w:styleId="ListLabel39">
    <w:name w:val="ListLabel 39"/>
    <w:qFormat/>
    <w:rPr>
      <w:rFonts w:eastAsia="Calibri"/>
      <w:sz w:val="28"/>
    </w:rPr>
  </w:style>
  <w:style w:type="character" w:customStyle="1" w:styleId="ListLabel40">
    <w:name w:val="ListLabel 40"/>
    <w:qFormat/>
    <w:rPr>
      <w:rFonts w:eastAsia="Calibri"/>
      <w:sz w:val="28"/>
    </w:rPr>
  </w:style>
  <w:style w:type="character" w:customStyle="1" w:styleId="ListLabel41">
    <w:name w:val="ListLabel 41"/>
    <w:qFormat/>
    <w:rPr>
      <w:rFonts w:eastAsia="Calibri"/>
      <w:sz w:val="28"/>
    </w:rPr>
  </w:style>
  <w:style w:type="character" w:customStyle="1" w:styleId="ListLabel42">
    <w:name w:val="ListLabel 42"/>
    <w:qFormat/>
    <w:rPr>
      <w:rFonts w:eastAsia="Calibri"/>
      <w:sz w:val="28"/>
    </w:rPr>
  </w:style>
  <w:style w:type="character" w:customStyle="1" w:styleId="ListLabel43">
    <w:name w:val="ListLabel 43"/>
    <w:qFormat/>
    <w:rPr>
      <w:rFonts w:ascii="Times New Roman" w:hAnsi="Times New Roman" w:cs="Symbol"/>
      <w:b w:val="0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 w:val="0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 w:val="0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 w:val="0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b w:val="0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b w:val="0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0E1D28"/>
    <w:pPr>
      <w:spacing w:after="120" w:line="240" w:lineRule="auto"/>
      <w:jc w:val="center"/>
    </w:pPr>
    <w:rPr>
      <w:rFonts w:eastAsia="Times New Roman" w:cs="Calibri"/>
      <w:lang w:eastAsia="ar-SA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0E1D28"/>
    <w:pPr>
      <w:suppressAutoHyphens/>
    </w:pPr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0E1D28"/>
    <w:pPr>
      <w:widowControl w:val="0"/>
      <w:suppressAutoHyphens/>
    </w:pPr>
    <w:rPr>
      <w:rFonts w:eastAsia="Times New Roman" w:cs="Calibri"/>
      <w:b/>
      <w:bCs/>
      <w:color w:val="00000A"/>
      <w:sz w:val="22"/>
      <w:lang w:eastAsia="ru-RU"/>
    </w:rPr>
  </w:style>
  <w:style w:type="paragraph" w:styleId="aa">
    <w:name w:val="List Paragraph"/>
    <w:basedOn w:val="a"/>
    <w:uiPriority w:val="34"/>
    <w:qFormat/>
    <w:rsid w:val="000E1D28"/>
    <w:pPr>
      <w:ind w:left="720"/>
      <w:contextualSpacing/>
    </w:pPr>
  </w:style>
  <w:style w:type="paragraph" w:customStyle="1" w:styleId="Default">
    <w:name w:val="Default"/>
    <w:qFormat/>
    <w:rsid w:val="000E1D28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Блочная цитата"/>
    <w:basedOn w:val="a"/>
    <w:qFormat/>
  </w:style>
  <w:style w:type="paragraph" w:styleId="ac">
    <w:name w:val="Title"/>
    <w:basedOn w:val="a0"/>
    <w:qFormat/>
  </w:style>
  <w:style w:type="paragraph" w:styleId="ad">
    <w:name w:val="Subtitle"/>
    <w:basedOn w:val="a0"/>
    <w:qFormat/>
  </w:style>
  <w:style w:type="paragraph" w:customStyle="1" w:styleId="ae">
    <w:name w:val="Содержимое таблицы"/>
    <w:basedOn w:val="a"/>
    <w:qFormat/>
  </w:style>
  <w:style w:type="paragraph" w:styleId="af">
    <w:name w:val="header"/>
    <w:basedOn w:val="a"/>
  </w:style>
  <w:style w:type="paragraph" w:styleId="af0">
    <w:name w:val="footer"/>
    <w:basedOn w:val="a"/>
  </w:style>
  <w:style w:type="table" w:styleId="af1">
    <w:name w:val="Table Grid"/>
    <w:basedOn w:val="a2"/>
    <w:uiPriority w:val="59"/>
    <w:rsid w:val="000E1D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3911</Words>
  <Characters>22293</Characters>
  <Application>Microsoft Office Word</Application>
  <DocSecurity>0</DocSecurity>
  <Lines>185</Lines>
  <Paragraphs>52</Paragraphs>
  <ScaleCrop>false</ScaleCrop>
  <Company>Grizli777</Company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dc:description/>
  <cp:lastModifiedBy>Экономика</cp:lastModifiedBy>
  <cp:revision>12</cp:revision>
  <cp:lastPrinted>2017-01-10T10:54:00Z</cp:lastPrinted>
  <dcterms:created xsi:type="dcterms:W3CDTF">2017-01-09T18:46:00Z</dcterms:created>
  <dcterms:modified xsi:type="dcterms:W3CDTF">2017-09-14T11:52:00Z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